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A0" w:rsidRDefault="006E78A0">
      <w:pPr>
        <w:pStyle w:val="Title"/>
        <w:rPr>
          <w:rFonts w:ascii="Times New Roman" w:hAnsi="Times New Roman"/>
        </w:rPr>
      </w:pPr>
      <w:r w:rsidRPr="00F44F52">
        <w:rPr>
          <w:rFonts w:ascii="Times New Roman" w:hAnsi="Times New Roman"/>
          <w:color w:val="000000"/>
        </w:rPr>
        <w:object w:dxaOrig="8635" w:dyaOrig="6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39pt" o:ole="" fillcolor="window">
            <v:imagedata r:id="rId7" o:title=""/>
          </v:shape>
          <o:OLEObject Type="Embed" ProgID="Msxml2.SAXXMLReader.5.0" ShapeID="_x0000_i1025" DrawAspect="Content" ObjectID="_1457452084" r:id="rId8"/>
        </w:object>
      </w:r>
    </w:p>
    <w:p w:rsidR="006E78A0" w:rsidRDefault="006E78A0">
      <w:pPr>
        <w:pStyle w:val="Title"/>
        <w:rPr>
          <w:rFonts w:ascii="Tahoma" w:hAnsi="Tahoma" w:cs="Tahoma"/>
        </w:rPr>
      </w:pPr>
    </w:p>
    <w:p w:rsidR="006E54E7" w:rsidRPr="006E54E7" w:rsidRDefault="006E54E7" w:rsidP="006E54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PROHLÁŠENÍ O SHODĚ (DoC)</w:t>
      </w:r>
    </w:p>
    <w:p w:rsidR="006E78A0" w:rsidRDefault="006E78A0">
      <w:pPr>
        <w:jc w:val="center"/>
        <w:rPr>
          <w:rFonts w:ascii="Arial" w:hAnsi="Arial" w:cs="Arial"/>
          <w:sz w:val="18"/>
        </w:rPr>
      </w:pPr>
    </w:p>
    <w:p w:rsidR="006E78A0" w:rsidRPr="00AF2AA1" w:rsidRDefault="006E78A0">
      <w:p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My,</w:t>
      </w:r>
    </w:p>
    <w:p w:rsidR="006E78A0" w:rsidRPr="00171F98" w:rsidRDefault="006E78A0">
      <w:pPr>
        <w:pStyle w:val="Heading1"/>
        <w:ind w:left="1134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ATLINKS EUROPE</w:t>
      </w:r>
    </w:p>
    <w:p w:rsidR="006E78A0" w:rsidRPr="00171F98" w:rsidRDefault="006E78A0">
      <w:pPr>
        <w:ind w:left="426" w:firstLine="708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22, Quai Gallieni</w:t>
      </w:r>
    </w:p>
    <w:p w:rsidR="006E78A0" w:rsidRPr="00171F98" w:rsidRDefault="006E78A0">
      <w:pPr>
        <w:ind w:left="426" w:firstLine="708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92150 SURESNES</w:t>
      </w:r>
    </w:p>
    <w:p w:rsidR="00CF458B" w:rsidRDefault="006E78A0" w:rsidP="006E54E7">
      <w:pPr>
        <w:ind w:left="42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FRANCIE</w:t>
      </w:r>
      <w:r>
        <w:tab/>
      </w:r>
    </w:p>
    <w:p w:rsidR="00307C93" w:rsidRPr="00171F98" w:rsidRDefault="00307C93" w:rsidP="006E54E7">
      <w:pPr>
        <w:ind w:left="426" w:firstLine="708"/>
        <w:rPr>
          <w:rFonts w:ascii="Arial" w:hAnsi="Arial"/>
          <w:sz w:val="22"/>
        </w:rPr>
      </w:pPr>
    </w:p>
    <w:p w:rsidR="006E78A0" w:rsidRPr="00200AA0" w:rsidRDefault="006E78A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Prohlašujeme na vlastní odpovědnost, že výrobky </w:t>
      </w:r>
      <w:r w:rsidR="00B820D4" w:rsidRPr="004568C5">
        <w:rPr>
          <w:rFonts w:ascii="Arial" w:hAnsi="Arial" w:cs="Arial"/>
          <w:sz w:val="22"/>
          <w:szCs w:val="22"/>
        </w:rPr>
        <w:t>Alcatel</w:t>
      </w:r>
      <w:r w:rsidR="00B820D4" w:rsidRPr="004568C5">
        <w:rPr>
          <w:rFonts w:ascii="Arial" w:hAnsi="Arial" w:cs="Arial"/>
          <w:sz w:val="22"/>
          <w:szCs w:val="22"/>
          <w:lang w:val="el-GR"/>
        </w:rPr>
        <w:t xml:space="preserve"> </w:t>
      </w:r>
      <w:r w:rsidR="00B820D4">
        <w:rPr>
          <w:rFonts w:ascii="Arial" w:hAnsi="Arial" w:cs="Arial"/>
          <w:sz w:val="22"/>
          <w:szCs w:val="22"/>
          <w:lang w:val="en-US"/>
        </w:rPr>
        <w:t>Baby Link 1</w:t>
      </w:r>
      <w:r w:rsidR="00033EDC">
        <w:rPr>
          <w:rFonts w:ascii="Arial" w:hAnsi="Arial" w:cs="Arial"/>
          <w:sz w:val="22"/>
          <w:szCs w:val="22"/>
          <w:lang w:val="en-US"/>
        </w:rPr>
        <w:t>5</w:t>
      </w:r>
      <w:bookmarkStart w:id="0" w:name="_GoBack"/>
      <w:bookmarkEnd w:id="0"/>
      <w:r w:rsidR="00B820D4">
        <w:rPr>
          <w:rFonts w:ascii="Arial" w:hAnsi="Arial" w:cs="Arial"/>
          <w:sz w:val="22"/>
          <w:szCs w:val="22"/>
          <w:lang w:val="en-US"/>
        </w:rPr>
        <w:t>0</w:t>
      </w:r>
      <w:r w:rsidR="00EF0665" w:rsidRPr="00B820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>vyhovují:</w:t>
      </w:r>
    </w:p>
    <w:p w:rsidR="00AF2AA1" w:rsidRPr="00AF2AA1" w:rsidRDefault="00AF2AA1">
      <w:pPr>
        <w:rPr>
          <w:rFonts w:ascii="Arial" w:hAnsi="Arial" w:cs="Arial"/>
          <w:sz w:val="22"/>
        </w:rPr>
      </w:pPr>
    </w:p>
    <w:p w:rsidR="00CF458B" w:rsidRPr="00307C93" w:rsidRDefault="006E78A0" w:rsidP="00CF458B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Základním požadavkům a dalším relevantním požadavkům směrnice R&amp;TTE (1999/5/EC) založené na následujících standardech a dalších normativních dokumentech:</w:t>
      </w:r>
    </w:p>
    <w:p w:rsidR="00B820D4" w:rsidRPr="00316188" w:rsidRDefault="00B820D4" w:rsidP="00B820D4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ETSI EN301 489-6 V1.3.1 (2008-08)</w:t>
      </w:r>
    </w:p>
    <w:p w:rsidR="00B820D4" w:rsidRDefault="00B820D4" w:rsidP="00B820D4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 w:eastAsia="en-US"/>
        </w:rPr>
      </w:pPr>
      <w:r>
        <w:rPr>
          <w:rFonts w:ascii="Arial" w:hAnsi="Arial" w:cs="Arial" w:hint="eastAsia"/>
          <w:sz w:val="22"/>
          <w:lang w:val="en-US" w:eastAsia="zh-HK"/>
        </w:rPr>
        <w:t>ETSI EN301 489-1 V1.9.2 (2011-09)</w:t>
      </w:r>
    </w:p>
    <w:p w:rsidR="00B820D4" w:rsidRDefault="00B820D4" w:rsidP="00B820D4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 w:eastAsia="zh-HK"/>
        </w:rPr>
        <w:t>ETSI EN301 406 V2.1.1 (2009-07)</w:t>
      </w:r>
    </w:p>
    <w:p w:rsidR="00B820D4" w:rsidRDefault="00B820D4" w:rsidP="00B820D4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 w:rsidRPr="00316188">
        <w:rPr>
          <w:rFonts w:ascii="Arial" w:hAnsi="Arial" w:cs="Arial"/>
          <w:sz w:val="22"/>
          <w:lang w:val="en-US"/>
        </w:rPr>
        <w:t>EN 60950</w:t>
      </w:r>
      <w:r w:rsidRPr="00316188">
        <w:rPr>
          <w:rFonts w:ascii="Cambria Math" w:hAnsi="Cambria Math" w:cs="Cambria Math"/>
          <w:sz w:val="22"/>
          <w:lang w:val="en-US"/>
        </w:rPr>
        <w:t>‐</w:t>
      </w:r>
      <w:r>
        <w:rPr>
          <w:rFonts w:ascii="Arial" w:hAnsi="Arial" w:cs="Arial"/>
          <w:sz w:val="22"/>
          <w:lang w:val="en-US"/>
        </w:rPr>
        <w:t>1: 2006+A11:</w:t>
      </w:r>
      <w:r w:rsidRPr="00316188">
        <w:rPr>
          <w:rFonts w:ascii="Arial" w:hAnsi="Arial" w:cs="Arial"/>
          <w:sz w:val="22"/>
          <w:lang w:val="en-US"/>
        </w:rPr>
        <w:t>2009</w:t>
      </w:r>
      <w:r>
        <w:rPr>
          <w:rFonts w:ascii="Arial" w:hAnsi="Arial" w:cs="Arial"/>
          <w:sz w:val="22"/>
          <w:lang w:val="en-US"/>
        </w:rPr>
        <w:t xml:space="preserve"> +A1:2010+A12:</w:t>
      </w:r>
      <w:r w:rsidRPr="00316188">
        <w:rPr>
          <w:rFonts w:ascii="Arial" w:hAnsi="Arial" w:cs="Arial"/>
          <w:sz w:val="22"/>
          <w:lang w:val="en-US"/>
        </w:rPr>
        <w:t>2011</w:t>
      </w:r>
    </w:p>
    <w:p w:rsidR="006E78A0" w:rsidRPr="00307C93" w:rsidRDefault="006E78A0">
      <w:pPr>
        <w:rPr>
          <w:rFonts w:ascii="Arial" w:hAnsi="Arial" w:cs="Arial"/>
          <w:sz w:val="22"/>
        </w:rPr>
      </w:pPr>
    </w:p>
    <w:p w:rsidR="006E78A0" w:rsidRPr="00307C93" w:rsidRDefault="006E78A0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Nařízení komise (ES) č. 278/2009 z 6. dubna 2009, kterým se provádí směrnice Evropského parlamentu a Rady 2009/125/ES, pokud jde o požadavky na ekodesign z hlediska spotřeby elektrické energie externích zdrojů napájení ve stavu bez zátěže a jejich průměrné energetické účinnosti v aktivním režimu </w:t>
      </w:r>
    </w:p>
    <w:p w:rsidR="006E78A0" w:rsidRPr="00307C93" w:rsidRDefault="006E78A0">
      <w:pPr>
        <w:rPr>
          <w:rFonts w:ascii="Arial" w:hAnsi="Arial" w:cs="Arial"/>
          <w:sz w:val="22"/>
        </w:rPr>
      </w:pPr>
    </w:p>
    <w:p w:rsidR="00880491" w:rsidRPr="00307C93" w:rsidRDefault="00171F98" w:rsidP="00307C93">
      <w:pPr>
        <w:pStyle w:val="Defaul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Směrnici RoHS 2011/65/EU z 8. června 2011, ohledně omezení použití určitých nebezpečných substancí v elektrických a elektronických zařízeních</w:t>
      </w:r>
    </w:p>
    <w:p w:rsidR="00880491" w:rsidRPr="00171F98" w:rsidRDefault="00880491" w:rsidP="00880491">
      <w:pPr>
        <w:pStyle w:val="Default"/>
        <w:rPr>
          <w:rFonts w:ascii="Arial" w:hAnsi="Arial" w:cs="Arial"/>
          <w:sz w:val="22"/>
          <w:szCs w:val="22"/>
        </w:rPr>
      </w:pPr>
    </w:p>
    <w:p w:rsidR="006E78A0" w:rsidRDefault="006E78A0">
      <w:p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Tato shoda platí za podmínek, že výrobky, pro které byla vydána, jsou nainstalovány a používány v souladu s pokyny uvedenými v návodu k obsluze.</w:t>
      </w:r>
    </w:p>
    <w:p w:rsidR="00307C93" w:rsidRPr="00AF2AA1" w:rsidRDefault="00307C93">
      <w:pPr>
        <w:rPr>
          <w:rFonts w:ascii="Arial" w:hAnsi="Arial" w:cs="Arial"/>
          <w:sz w:val="22"/>
        </w:rPr>
      </w:pPr>
    </w:p>
    <w:p w:rsidR="006E78A0" w:rsidRPr="00AF2AA1" w:rsidRDefault="006E78A0">
      <w:pPr>
        <w:rPr>
          <w:rFonts w:ascii="Arial" w:hAnsi="Arial" w:cs="Arial"/>
          <w:sz w:val="22"/>
        </w:rPr>
      </w:pPr>
    </w:p>
    <w:p w:rsidR="00EF0665" w:rsidRPr="009922AE" w:rsidRDefault="00EF0665" w:rsidP="00EF0665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424A08">
        <w:rPr>
          <w:rFonts w:ascii="Arial" w:hAnsi="Arial" w:cs="Arial"/>
        </w:rPr>
        <w:t xml:space="preserve">Suresnes, </w:t>
      </w:r>
      <w:r w:rsidR="00B820D4">
        <w:rPr>
          <w:rFonts w:ascii="Arial" w:hAnsi="Arial" w:cs="Arial"/>
          <w:sz w:val="22"/>
          <w:lang w:val="en-US"/>
        </w:rPr>
        <w:t>31</w:t>
      </w:r>
      <w:r w:rsidR="00B820D4">
        <w:rPr>
          <w:rFonts w:ascii="Arial" w:hAnsi="Arial" w:cs="Arial"/>
          <w:color w:val="000000"/>
        </w:rPr>
        <w:t xml:space="preserve"> January </w:t>
      </w:r>
      <w:r w:rsidR="00B820D4" w:rsidRPr="009922AE">
        <w:rPr>
          <w:rFonts w:ascii="Arial" w:hAnsi="Arial" w:cs="Arial"/>
          <w:color w:val="000000"/>
        </w:rPr>
        <w:t>201</w:t>
      </w:r>
      <w:r w:rsidR="00B820D4">
        <w:rPr>
          <w:rFonts w:ascii="Arial" w:hAnsi="Arial" w:cs="Arial"/>
          <w:color w:val="000000"/>
        </w:rPr>
        <w:t>4</w:t>
      </w:r>
    </w:p>
    <w:p w:rsidR="00EF0665" w:rsidRPr="00FF1542" w:rsidRDefault="00EF0665" w:rsidP="00EF0665">
      <w:pPr>
        <w:rPr>
          <w:rFonts w:ascii="Arial" w:hAnsi="Arial" w:cs="Arial"/>
          <w:lang w:val="en-US"/>
        </w:rPr>
      </w:pPr>
      <w:r w:rsidRPr="00FF1542">
        <w:rPr>
          <w:rFonts w:ascii="Arial" w:hAnsi="Arial" w:cs="Arial"/>
          <w:lang w:val="en-US"/>
        </w:rPr>
        <w:t>Jean-Alexis DUC</w:t>
      </w:r>
    </w:p>
    <w:p w:rsidR="00EF0665" w:rsidRPr="00FF1542" w:rsidRDefault="00EF0665" w:rsidP="00EF0665">
      <w:pPr>
        <w:rPr>
          <w:rFonts w:ascii="Arial" w:hAnsi="Arial" w:cs="Arial"/>
          <w:lang w:val="en-US"/>
        </w:rPr>
      </w:pPr>
      <w:r w:rsidRPr="00FF1542">
        <w:rPr>
          <w:rFonts w:ascii="Arial" w:hAnsi="Arial" w:cs="Arial"/>
          <w:lang w:val="en-US"/>
        </w:rPr>
        <w:t>Managing Director Atlinks Europe</w:t>
      </w:r>
    </w:p>
    <w:p w:rsidR="006E78A0" w:rsidRDefault="006E78A0" w:rsidP="00EF0665">
      <w:pPr>
        <w:rPr>
          <w:rFonts w:ascii="Arial" w:hAnsi="Arial" w:cs="Arial"/>
          <w:sz w:val="22"/>
          <w:szCs w:val="22"/>
        </w:rPr>
      </w:pPr>
    </w:p>
    <w:sectPr w:rsidR="006E78A0" w:rsidSect="00FF6B87">
      <w:headerReference w:type="default" r:id="rId9"/>
      <w:pgSz w:w="16840" w:h="11907" w:orient="landscape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2FA" w:rsidRDefault="00B432FA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B432FA" w:rsidRDefault="00B432FA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A Bk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2FA" w:rsidRDefault="00B432FA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B432FA" w:rsidRDefault="00B432FA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A1" w:rsidRDefault="00C366D0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en-US" w:eastAsia="zh-TW" w:bidi="ar-SA"/>
      </w:rPr>
      <w:drawing>
        <wp:inline distT="0" distB="0" distL="0" distR="0">
          <wp:extent cx="1520190" cy="480060"/>
          <wp:effectExtent l="19050" t="0" r="381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74048"/>
    <w:multiLevelType w:val="hybridMultilevel"/>
    <w:tmpl w:val="3BFCA6D0"/>
    <w:lvl w:ilvl="0" w:tplc="040C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Times New Roman" w:hint="default"/>
      </w:rPr>
    </w:lvl>
  </w:abstractNum>
  <w:abstractNum w:abstractNumId="1">
    <w:nsid w:val="0D2E5492"/>
    <w:multiLevelType w:val="singleLevel"/>
    <w:tmpl w:val="4E02F5B2"/>
    <w:lvl w:ilvl="0">
      <w:start w:val="9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abstractNum w:abstractNumId="2">
    <w:nsid w:val="3253469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>
    <w:nsid w:val="33CC5C91"/>
    <w:multiLevelType w:val="singleLevel"/>
    <w:tmpl w:val="EE5A9C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3D7211E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40303D34"/>
    <w:multiLevelType w:val="hybridMultilevel"/>
    <w:tmpl w:val="977281C2"/>
    <w:lvl w:ilvl="0" w:tplc="CE60C23A">
      <w:start w:val="2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CE60C23A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35604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4D0E6A2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>
    <w:nsid w:val="4EEB51D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>
    <w:nsid w:val="4FCA4FEE"/>
    <w:multiLevelType w:val="hybridMultilevel"/>
    <w:tmpl w:val="D38051A2"/>
    <w:lvl w:ilvl="0" w:tplc="02224364">
      <w:numFmt w:val="bullet"/>
      <w:lvlText w:val="-"/>
      <w:lvlJc w:val="left"/>
      <w:pPr>
        <w:tabs>
          <w:tab w:val="num" w:pos="1620"/>
        </w:tabs>
        <w:ind w:left="1620" w:hanging="12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548D6A41"/>
    <w:multiLevelType w:val="singleLevel"/>
    <w:tmpl w:val="11FAF73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abstractNum w:abstractNumId="11">
    <w:nsid w:val="55AA148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59472E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3">
    <w:nsid w:val="630D47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63A04546"/>
    <w:multiLevelType w:val="singleLevel"/>
    <w:tmpl w:val="8AE264B6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abstractNum w:abstractNumId="15">
    <w:nsid w:val="6D103B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8"/>
  </w:num>
  <w:num w:numId="5">
    <w:abstractNumId w:val="11"/>
  </w:num>
  <w:num w:numId="6">
    <w:abstractNumId w:val="13"/>
  </w:num>
  <w:num w:numId="7">
    <w:abstractNumId w:val="15"/>
  </w:num>
  <w:num w:numId="8">
    <w:abstractNumId w:val="7"/>
  </w:num>
  <w:num w:numId="9">
    <w:abstractNumId w:val="12"/>
  </w:num>
  <w:num w:numId="10">
    <w:abstractNumId w:val="2"/>
  </w:num>
  <w:num w:numId="11">
    <w:abstractNumId w:val="4"/>
  </w:num>
  <w:num w:numId="12">
    <w:abstractNumId w:val="6"/>
  </w:num>
  <w:num w:numId="13">
    <w:abstractNumId w:val="10"/>
  </w:num>
  <w:num w:numId="14">
    <w:abstractNumId w:val="9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314F"/>
    <w:rsid w:val="00026CC4"/>
    <w:rsid w:val="00033EDC"/>
    <w:rsid w:val="00047485"/>
    <w:rsid w:val="0006602C"/>
    <w:rsid w:val="00087422"/>
    <w:rsid w:val="000A269C"/>
    <w:rsid w:val="000D4DDB"/>
    <w:rsid w:val="00170B4C"/>
    <w:rsid w:val="00171F98"/>
    <w:rsid w:val="001C34A0"/>
    <w:rsid w:val="00200377"/>
    <w:rsid w:val="00200AA0"/>
    <w:rsid w:val="0021314F"/>
    <w:rsid w:val="00213703"/>
    <w:rsid w:val="00260B5F"/>
    <w:rsid w:val="002C2FBF"/>
    <w:rsid w:val="00307C93"/>
    <w:rsid w:val="00382C6A"/>
    <w:rsid w:val="003955C1"/>
    <w:rsid w:val="003A3540"/>
    <w:rsid w:val="0044441F"/>
    <w:rsid w:val="00497874"/>
    <w:rsid w:val="00553662"/>
    <w:rsid w:val="00575DC1"/>
    <w:rsid w:val="005A5F5A"/>
    <w:rsid w:val="005D3766"/>
    <w:rsid w:val="005D7625"/>
    <w:rsid w:val="005E0A26"/>
    <w:rsid w:val="005E2DF3"/>
    <w:rsid w:val="005E6FB7"/>
    <w:rsid w:val="005F1184"/>
    <w:rsid w:val="005F585A"/>
    <w:rsid w:val="005F7D54"/>
    <w:rsid w:val="00624878"/>
    <w:rsid w:val="006E54E7"/>
    <w:rsid w:val="006E785E"/>
    <w:rsid w:val="006E78A0"/>
    <w:rsid w:val="0071551A"/>
    <w:rsid w:val="007344D7"/>
    <w:rsid w:val="00746481"/>
    <w:rsid w:val="00753BD2"/>
    <w:rsid w:val="00757AE4"/>
    <w:rsid w:val="00761EC0"/>
    <w:rsid w:val="0080012C"/>
    <w:rsid w:val="00815291"/>
    <w:rsid w:val="00845545"/>
    <w:rsid w:val="00880491"/>
    <w:rsid w:val="00892241"/>
    <w:rsid w:val="008B36FC"/>
    <w:rsid w:val="008D5955"/>
    <w:rsid w:val="008E1AA0"/>
    <w:rsid w:val="00911005"/>
    <w:rsid w:val="00920833"/>
    <w:rsid w:val="00956230"/>
    <w:rsid w:val="0095717C"/>
    <w:rsid w:val="009F5609"/>
    <w:rsid w:val="00AF2AA1"/>
    <w:rsid w:val="00B1129C"/>
    <w:rsid w:val="00B432FA"/>
    <w:rsid w:val="00B820D4"/>
    <w:rsid w:val="00C346FF"/>
    <w:rsid w:val="00C366D0"/>
    <w:rsid w:val="00C85203"/>
    <w:rsid w:val="00CC47DD"/>
    <w:rsid w:val="00CF458B"/>
    <w:rsid w:val="00D14DA0"/>
    <w:rsid w:val="00D52EE2"/>
    <w:rsid w:val="00D70301"/>
    <w:rsid w:val="00D84063"/>
    <w:rsid w:val="00DA2C37"/>
    <w:rsid w:val="00E51AE0"/>
    <w:rsid w:val="00EF0665"/>
    <w:rsid w:val="00F01A9F"/>
    <w:rsid w:val="00F44F52"/>
    <w:rsid w:val="00FA0F08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D574F0-3D5E-4AD8-B8A0-92CE5879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B87"/>
    <w:rPr>
      <w:rFonts w:ascii="FuturaA Bk BT" w:hAnsi="FuturaA Bk BT"/>
    </w:rPr>
  </w:style>
  <w:style w:type="paragraph" w:styleId="Heading1">
    <w:name w:val="heading 1"/>
    <w:basedOn w:val="Normal"/>
    <w:next w:val="Normal"/>
    <w:qFormat/>
    <w:rsid w:val="00FF6B8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F6B87"/>
    <w:pPr>
      <w:keepNext/>
      <w:ind w:left="1134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6B87"/>
    <w:pPr>
      <w:jc w:val="center"/>
    </w:pPr>
    <w:rPr>
      <w:b/>
      <w:caps/>
      <w:sz w:val="28"/>
    </w:rPr>
  </w:style>
  <w:style w:type="paragraph" w:styleId="BodyText">
    <w:name w:val="Body Text"/>
    <w:basedOn w:val="Normal"/>
    <w:rsid w:val="00FF6B87"/>
    <w:pPr>
      <w:jc w:val="center"/>
    </w:pPr>
  </w:style>
  <w:style w:type="paragraph" w:styleId="Header">
    <w:name w:val="header"/>
    <w:basedOn w:val="Normal"/>
    <w:rsid w:val="00FF6B8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F6B87"/>
    <w:pPr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rsid w:val="00FF6B8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CF45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F98"/>
    <w:pPr>
      <w:ind w:left="720"/>
      <w:contextualSpacing/>
    </w:pPr>
  </w:style>
  <w:style w:type="paragraph" w:customStyle="1" w:styleId="Default">
    <w:name w:val="Default"/>
    <w:rsid w:val="00171F9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71F9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71F98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DECLARATION DE CONFORMITE CE</vt:lpstr>
    </vt:vector>
  </TitlesOfParts>
  <Company>ALCATEL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DE CONFORMITE CE</dc:title>
  <dc:creator>DELESTA2</dc:creator>
  <cp:lastModifiedBy>Yuen Wicky</cp:lastModifiedBy>
  <cp:revision>5</cp:revision>
  <cp:lastPrinted>2011-07-21T16:10:00Z</cp:lastPrinted>
  <dcterms:created xsi:type="dcterms:W3CDTF">2013-12-11T10:28:00Z</dcterms:created>
  <dcterms:modified xsi:type="dcterms:W3CDTF">2014-03-27T11:02:00Z</dcterms:modified>
</cp:coreProperties>
</file>